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КОМУНАЛЬНИЙ ВИЩИЙ НАВЧАЛЬНИЙ ЗАКЛАД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«ХАРКІВСЬКА АКАДЕМІЯ НЕПЕРЕРВНОЇ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Layout w:type="fixed"/>
        <w:tblLook w:val="0400"/>
      </w:tblPr>
      <w:tblGrid>
        <w:gridCol w:w="4758"/>
        <w:gridCol w:w="4881"/>
        <w:tblGridChange w:id="0">
          <w:tblGrid>
            <w:gridCol w:w="4758"/>
            <w:gridCol w:w="4881"/>
          </w:tblGrid>
        </w:tblGridChange>
      </w:tblGrid>
      <w:tr>
        <w:trPr>
          <w:cantSplit w:val="0"/>
          <w:trHeight w:val="1529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7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СХВАЛЕНО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7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Вченої ради КВНЗ «Харківська академія неперервної освіти»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right="17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№1 від 23.01.2026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739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ЗАТВЕРДЖЕНО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739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 КВНЗ «Харківська академія неперервної освіти»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№ 8  від 26.01.2026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підвищення кваліфікації  педагогічних працівників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закладів загальної середньої освіти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НУШ 7-9.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«ОЦІНЮВАННЯ ПО-НОВОМУ: СТРАТЕГІЇ ОЦІНЮВАННЯ МОВНО-ЛІТЕРАТУРНОЇ ОСВІТНЬОЇ ГАЛУЗІ»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Харків – 2026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Розробник: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Комунальний вищий навчальний заклад «Харківська академія неперервної освіти» (Румянцева-Лахтіна О.О., д. філос., доцент кафедри сучасних методик навчання Комунального вищого навчального закладу «Харківська академія неперервної освіти»).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Напрям підвищення кваліфікації: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Оцінювання навчальних досягнень учнів у Новій українській школі з навчальних предметів / інтегрованих курсів відповідно до державного стандарту базової середньої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Розроблено на основі Типової програми: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Типова програма підвищення кваліфікації вчителів закладів загальної середньої освіти, які впроваджують новий Державний стандарт базової середньої освіти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(наказ МОНУ від 12.10.202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р. № 904)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Термін дії програми: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01.04.2026 до 31.12.2030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Рецензенти: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Дегтярьова Галина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завідувач кафедри сучасних методик навчання Комунального вищого навчального закладу «Харківська академія неперервної освіти», доктор педагогічних наук;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Маленко Олена,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філологічних наук, професор, завідувач кафедри українознавства та лінгводидактики Харківського національного педагогічного університету імені Г. С. Сковороди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0">
      <w:pPr>
        <w:spacing w:after="0" w:line="240" w:lineRule="auto"/>
        <w:ind w:firstLine="496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©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Харківська академія неперервної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496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Румянцева-Лахтіна О.О.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 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Актуальність програми.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Актуальність програми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НУШ 7-9. «Оцінювання по-новому: стратегії мовно-літературної освітньої галузі»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вчителів української мови і літератури, зарубіжної літератури закладів загальної середньої освіти, які викладають у 7-9 класах, полягає в необхідності підготовки вчителів до роботи за новим Державним стандартом базової середньої освіти в контексті вимог законодавства, зокрема Конституції України, законів України «Про освіту», «Про повну загальну середню освіту», та на виконання заходів державної політики у сфері реформування загальної середньої освіти «Нова українська школа»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а також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необхідністю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формування готовності вчителів-філологів ЗЗСО до реалізації стратегічних завдань розвитку шкільної освіти, національної системи освіти ХХІ століття, інтеграції у світовий освітній простір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 переформатування традиційних підходів до оцінювання, зокрема необхідністю практичного розроблення й укладання завдань до комплексних підсумкових робіт та окремих підсумкових робіт на уроках мовно-літературної освітньої галузі та об’єктивного оцінювання цих робіт за групами результатів.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Освітню програму укладено з урахуванням положень: Закону України «Про освіту»; Закону України «Про повну загальну середню освіту»;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 грудня 2016 р. № 988-р; Концепції розвитку цифрових компетентностей, схваленої розпорядженням Кабінету Міністрів України від 3 березня 2021 р. № 167-р; наказу Міністерства освіти і науки України від 29 серпня 2024 р. № 1225 «Про затвердження професійного стандарту "Вчитель закладу загальної середньої освіти"»; положень постанови Кабінету Міністрів України від 21 серпня 2019 р. № 800 «Деякі питання підвищення кваліфікації педагогічних і науково-педагогічних працівників»; Положення про дистанційне навчання, затвердженого наказом Міністерства освіти і науки України від 25.04.2013 № 466, зареєстрованого в Міністерстві юстиції України 30.04.2013 за № 703/23235 (зі змінами); Положення про дистанційну форму здобуття повної загальної середньої освіти, затвердженого наказом Міністерства освіти і науки України від 08.09.2020 № 1115, зареєстрованого в Міністерстві юстиції України 28.09.2020 за № 941/35224 (зі змінами); Положення про електронні освітні ресурси, затвердженого наказом Міністерства освіти і науки, молоді та спорту України 01.10.2012 № 1060, зареєстрованого в Міністерстві юстиції України 05.10.2012 за № 1695/22007 (зі змінами); інших нормативно-правових актів, що регулюють діяльність закладів освіти та з урахуванням сучасних суспільних викликів, європейського вектору розвитку освіти України, процесу трансформації галузі, новітніх зарубіжних і вітчизняних наукових розробок.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Освітня програма спрямована на розвиток і вдосконалення знань, умінь і навичок педагогів щодо здійснення формувального і підсумкового оцінювання в умовах реформування сучасної освіти.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Цільова група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учителі української мови та літератури, зарубіжної літератури закладів загальної середньої освіти (базова середня освіта, 7-9 класи).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Обсяг (тривалість):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30 годин / 1 кредит ЄКТС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інтерактивні лекції/тренінги – 8 годин;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практико-орієнтовані види роботи – 16 годин;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самостійна робота – 4 години;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контрольні заходи – 2 години.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реалізації програми: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Тривалість програми – інтенсивна (до 1 місяця).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Програми відповідає потребам педагогічних працівників, які викладають предмети мовно-літературної освітньої галузі. В основу Програми покладено теми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модуля 4 «Організація освітнього процесу з предметів/інтегрованих курсів» (Тема 4.2. Оцінювання навчальних досягнень учнів у Новій українській школі з навчальних предметів / інтегрованих курсів)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Типової програми для вчителів, які впроваджують новий Державний стандарт базової середньої освіти (наказ МОНУ від 12.10.2022 р. № 904) .</w:t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Освітній процес за програмою передбачає поєднання синхронних інтерактивних занять (дистанційно) та індивідуальної роботи учасників, зокрема з використанням онлайн-платформ.</w:t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Заняття практико орієнтовані, передбачають різні виді роботи: індивідуальну, групову, фронтальну з використанням різноманітних цифрових сервісів(робота з онлайн-дошками Padlet, Lino, онлайн-презентаціями, створення завдань за допомогою АІ, цифрових сервісів, Wordwall, Mentimeter, Canva, CLASSTIME, що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сприяє набуттю педагогами не лише професійних, а й соціальних навичок (робота в команді, уміння дослухатися до думок колег).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Самостійна робота слухачів передбачає виконання практичних завдань, (вправ, тестових завдань), спрямованих на закріплення матеріалу та перенесення його в практичну площину. Завдання можуть виконуватися з використанням онлайн-інструментів, що забезпечує можливість самостійного темпу роботи, рефлексії та отримання зворотного зв’язку.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ефективної реалізації програми залучаються тренери-педагоги НУШ, учителі-практики з досвідом андрагога.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Форма підвищення кваліфікації: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інституційна (дистанційна).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підвищення кваліфікації: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професійний розвиток учителів української мови та літератури, зарубіжної літератури, удосконалення й розвиток умінь і навичок, необхідних для розроблення завдань для формувального й підсумкового оцінювання та набуття нових / додаткових навичок / компетентностей у частині використання цифрових інструментів під час оцінювання предметів мовно-літературної освітньої галузі.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підвищення кваліфікації: </w:t>
      </w:r>
    </w:p>
    <w:p w:rsidR="00000000" w:rsidDel="00000000" w:rsidP="00000000" w:rsidRDefault="00000000" w:rsidRPr="00000000" w14:paraId="0000004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поглибити знання вчителів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мовно-літературної освітньої галузі стосовно трансформації оцінювання на засадах компетентнісного підходу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що забезпечить якісні зміни в організації освітнього процесу в умовах впровадження НУШ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 </w:t>
      </w:r>
    </w:p>
    <w:p w:rsidR="00000000" w:rsidDel="00000000" w:rsidP="00000000" w:rsidRDefault="00000000" w:rsidRPr="00000000" w14:paraId="0000004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удосконалити вміння вчителів мовно-літературної галузі щодо планування й реалізації формувального й підсумкового  оцінювання учнівства відповідно до груп результатів;</w:t>
      </w:r>
    </w:p>
    <w:p w:rsidR="00000000" w:rsidDel="00000000" w:rsidP="00000000" w:rsidRDefault="00000000" w:rsidRPr="00000000" w14:paraId="000000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розвивати фахову майстерність педагогів щодо розроблення компетентнісно орієнтованих завдань на етапах підсумкового оцінювання;</w:t>
      </w:r>
    </w:p>
    <w:p w:rsidR="00000000" w:rsidDel="00000000" w:rsidP="00000000" w:rsidRDefault="00000000" w:rsidRPr="00000000" w14:paraId="000000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розширити знання та практичні вміння вчителів мовно-літературної освітньої галузі щодо застосування інноваційних підходів у процесі оцінювання за групами результатів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Компетентності, що вдосконалюються: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Г1. Прогностична компетентність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Г3. Оцінювально-аналітична компетентність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Очікувані результати.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результатами навчання слухачі курсу: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поглиблять знання щодо філософії оцінювання і його практичної складової, що забезпечить якісні зміни в плануванні й організації освітнього процесу щодо застосування інноваційних підходів до оцінювання в мовно-літературній освітній галузі;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удосконалять уміння роботи з Державним стандартом базової середньої освіти, модельними програмами з урахуванням ціннісних орієнтирів цих документів і реалізації компетентнісного потенціалу оцінювання;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розвинуть фахову майстерність стосовно створення компетентнісно орієнтованих завдань (дидактичних та оцінювальних матеріалів);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сформують здатності здійснювати формувальне й підсумкове оцінювання й уміння створювати власні дидактичні матеріали для   підсумкових робіт.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Система та критерії оцінювання результатів підвищення кваліфікації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результатів навчання здійснюється на основі поєднання формувального та підсумкового оцінювання і спрямоване на визначення рівня сформованості прогностичної (Г1) та оцінювально-аналітичної (Г3) компетентностей.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 оцінювання: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Із формами оцінювання та вимогами до підсумкових заходів слухачів знайомлять на настановному занятті.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Формувальне оцінювання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(у процесі навчання):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виконання практичних завдань під час занять;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аналіз і вдосконалення створених слухачами освітніх продуктів;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самооцінювання та взаємооцінювання (надання відгуків  на роботи інших слухачів).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Підсумкове оцінювання (комплексне)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підсумкове тестування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(теоретична складова) – складається з 12 питань і здійснюється наприкінці навчання у вигляді тестування за всіма темами освітньої програми, що дозволяє оцінити рівень засвоєння знань, умінь і компетентностей слухачів.  Пропонуються завдання з вибором однієї відповіді. До кожного із завдань наведено чотири або п’ять варіантів відповідей, із яких лише один правильний. Завдання вважається виконаним, якщо слухач/слухачка  вибрав/-ла і позначив/-ла  правильну відповідь (кожна правильна відповідь оцінюється в 1 бал). Підсумкове тестування зараховується у разі, якщо слухач надав 8 правильних відповідей і більше, тобто не менше, ніж 70% правильних відповідей;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практичне підсумкове завдання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(практична складова): створення  на основі тексту комплексної підсумкової роботи або підсумкової роботи, розробленої індивідуально або в групі, зокрема і за допомогою цифрових інструментів. Підсумкове завдання є демонстрацією рівня сформованості набутих професійних компетентностей і здійснюється за допомогою карток самооцінювання.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Критерії самооцінювання підсумкових робіт за програмою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НУШ 7-9. «Оцінювання по-новому: стратегії мовно-літературної освітньої галузі»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подано в табл.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376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Таблиця 1</w:t>
      </w:r>
      <w:r w:rsidDel="00000000" w:rsidR="00000000" w:rsidRPr="00000000">
        <w:rPr>
          <w:rtl w:val="0"/>
        </w:rPr>
      </w:r>
    </w:p>
    <w:tbl>
      <w:tblPr>
        <w:tblStyle w:val="Table2"/>
        <w:tblW w:w="9446.0" w:type="dxa"/>
        <w:jc w:val="left"/>
        <w:tblInd w:w="-108.0" w:type="dxa"/>
        <w:tblLayout w:type="fixed"/>
        <w:tblLook w:val="0400"/>
      </w:tblPr>
      <w:tblGrid>
        <w:gridCol w:w="2802"/>
        <w:gridCol w:w="5811"/>
        <w:gridCol w:w="833"/>
        <w:tblGridChange w:id="0">
          <w:tblGrid>
            <w:gridCol w:w="2802"/>
            <w:gridCol w:w="5811"/>
            <w:gridCol w:w="833"/>
          </w:tblGrid>
        </w:tblGridChange>
      </w:tblGrid>
      <w:tr>
        <w:trPr>
          <w:cantSplit w:val="0"/>
          <w:trHeight w:val="53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Зміст критерію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Критерії сформованості  прогностичної (Г1),   та оцінювально-аналітичної (Г3) компетентностей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Прогностична доцільність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Чітке формулювання цілей, очікуваних результатів робіт  відповідно до мети, завдань і проблематики обраної  теми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Методична грамотність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Обґрунтований добір видів навчальної діяльності та інструментів оцінювання відповідно до вікових і освітніх потреб учнівства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Якість дидактичних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Логічність, структурованість, відповідність програмним вимогам і навчальним результатам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Розуміння відповідності завдань групам очікуваних результатів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Уміння увідповіднити завдання до груп очікуваних  результатів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Орієнтація на результати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Відповідність очікуваних результатів запропонованим завданням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Володіння цифровими інструментами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Використання цифрових інструментів для створення навчального контенту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Усього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Слухачі самостійно оцінюють рівень набутих компетентностей у такий спосіб: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 0 до 3 балів – не обізнані;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 4 до 6 балів – мало обізнані;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 7 до 9 балів – обізнані;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 10 до 12 – цілком обізнані.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Питання та практичні завдання для самостійної роботи для слухачів викладачі-тренери визначають на власний розсуд.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 про підсумки підвищення кваліфікації: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свідоцтво про підвищення кваліфікації (30 годин).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Вартість: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870 гривень.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НАВЧАЛЬНО-ТЕМАТИЧНИЙ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Програмою передбачено інтерактивні лекційні заняття й тренінги.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Особливістю практичних занять є виконання завдань із розроблення дидактичних матеріалів для оцінювання, зокрема й за допомогою цифрового контенту.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Опрацювання навчальних матеріалів, виконання контрольних заходів та розроблення підсумкових (діагностувальних) робіт здійснюється в межах годин самостійної роботи слухачів, тобто самостійна робота передбачає індивідуальну роботу з розроблення завдань, навчально-методичних матеріалів для  формувального й підсумкового оцінювання за групами результатів чи виконання інших видів діяльності відповідно до змісту програми.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Підсумковими заходами (рефлексією) є самооцінювання слухачами виконаних робіт, що сприятиме аналізу презентованого матеріалу й формуванню навичок систематизації та аналізу отриманих знань.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годин, що відводиться на засвоєння змісту Програми, складає: 30 год, із них: 8 год – інтерактивні лекційні заняття або тренінги, 16 год – практичні заняття, 4 год – самостійна робота та 2 год – контрольні заходи.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78.0" w:type="dxa"/>
        <w:jc w:val="left"/>
        <w:tblInd w:w="-108.0" w:type="dxa"/>
        <w:tblLayout w:type="fixed"/>
        <w:tblLook w:val="0400"/>
      </w:tblPr>
      <w:tblGrid>
        <w:gridCol w:w="747"/>
        <w:gridCol w:w="2604"/>
        <w:gridCol w:w="1604"/>
        <w:gridCol w:w="1294"/>
        <w:gridCol w:w="1221"/>
        <w:gridCol w:w="1219"/>
        <w:gridCol w:w="789"/>
        <w:tblGridChange w:id="0">
          <w:tblGrid>
            <w:gridCol w:w="747"/>
            <w:gridCol w:w="2604"/>
            <w:gridCol w:w="1604"/>
            <w:gridCol w:w="1294"/>
            <w:gridCol w:w="1221"/>
            <w:gridCol w:w="1219"/>
            <w:gridCol w:w="789"/>
          </w:tblGrid>
        </w:tblGridChange>
      </w:tblGrid>
      <w:tr>
        <w:trPr>
          <w:cantSplit w:val="0"/>
          <w:trHeight w:val="365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теми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навчальних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 годин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Інтерактивні лекції/тренінги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Практичні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Самостійна робота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Контрольні заходи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Усього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МОДУЛЬ 1. ОРГАНІЗАЦІЙНО-РЕФЛЕКСИВНИЙ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Організаційне заняття. Мотиваційна сесія «Мої очікування від курсу»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Рефлексивне заняття «Презентація дидактичних матеріалів»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Разом за модулем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НОВА АРХІТЕКТУРА ОЦІНЮВАННЯ В НУШ: ЗМІСТ, ФОРМА, ВИМОГИ ТА ФУНКЦІЇ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Трансформація оцінювання результатів навчання учнівства в мовно-літературній освітній галузі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Комплексна система оцінювання результатів навчання: нормативи, критерії, практика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Разом за модулем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3. СИСТЕМА ОЦІНЮВАННЯ МОВНО-ЛІТЕРАТУРНОЇ ГАЛУЗІ: ВІД СТРАТЕГІЙ ФОРМУВАЛЬНОГО ОЦІНЮВАННЯ ДО ПІДСУМКОВИХ РОБІТ 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Методологія та інструментарій формувального оцінювання: від таксономії цілей до рефлексії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 здійснити оцінювання усної взаємодії на уроках мовно-літературної галузі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Моделі компетентнісно орієнтованих завдань і їх оцінювання в процесі викладання предметів та інтегрованих курсів мовно-літературної освітньої галузі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Створення КПР у  сервісі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Classtime: практичний інтенсив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Фіксування результатів навчання здобувачів освіти в умовах упровадження нових підходів до оцінювання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ind w:right="-95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Практикум: алгоритми  розроблення комплексних підсумкових робіт (КПР) та підсумкових робіт на основі тексту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Разом за модулем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Підсумкові заходи: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-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підсумкове тестування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Усього: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 ЗМІСТ ПРОГРАМИ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МОДУЛЬ 1.ОРГАНІЗАЦІЙНО-РЕФЛЕКСИВНИЙ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 1.1. Організаційне заняття. Мотиваційна сесія «Мої очікування від курсу»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Ознайомлення слухачів курсів із розкладом занять, організацією освітнього процесу, змістом та умовами проведення,  правилами та вимогами участі в навчанні  на курсі з підготовки педагогів за темою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«Оцінювання по-новому: стратегії мовно-літературної освітньої галузі»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Мотиваційне завдання. Представлення учасників. Погодження правил роботи групи.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 1.2. Рефлексивне заняття «Презентація дидактичних матеріалів»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Аналіз результатів навчання та особистого професійного зростання учасників. Представлення й захист дидактичних матеріалів з оцінювання за групами результатів. Обговорення викликів і можливостей, виявлених під час курсу. Формування індивідуальних висновків, планів подальшого застосування отриманих знань і умінь, а також оцінювання власного прогресу.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br w:type="textWrapping"/>
        <w:t xml:space="preserve">МОДУЛЬ 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НОВА АРХІТЕКТУРА ОЦІНЮВАННЯ В НУШ: ЗМІСТ, ФОРМА, ВИМОГИ ТА ФУНКЦІЇ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 2.1. Трансформація оцінювання результатів навчання учнівства в мовно-літературній освітній галузі</w:t>
      </w:r>
    </w:p>
    <w:p w:rsidR="00000000" w:rsidDel="00000000" w:rsidP="00000000" w:rsidRDefault="00000000" w:rsidRPr="00000000" w14:paraId="0000013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Оцінювання та оцінка. Принципи оцінювання. Функції та форми оцінювання. Основні види оцінювання: формувальне, підсумкове (семестрове, річне), державна підсумкова атестація. Критерії та шкали (підходи) до оцінювання.</w:t>
      </w:r>
    </w:p>
    <w:p w:rsidR="00000000" w:rsidDel="00000000" w:rsidP="00000000" w:rsidRDefault="00000000" w:rsidRPr="00000000" w14:paraId="0000013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Об’єкти оцінювання: ключові компетентності, наскрізні вміння, результати навчання. Компетентнісний потенціал освітніх документів.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 2.2. Комплексна система оцінювання результатів навчання: нормативи, критерії, практика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види оцінювання: формувальне (поточне), підсумкове (тематичне, семестрове, річне), державна підсумкова атестація. Критерії та шкали (підходи) до оцінювання. Орієнтовна рамка оцінювання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результатів навчання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здобувачів базової середньої освіти. Поточне й підсумкове оцінювання. Таксономія навчальних цілей.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МОДУЛЬ 3.  СИСТЕМА ОЦІНЮВАННЯ  МОВНО-ЛІТЕРАТУРНОЇ ГАЛУЗІ:  ВІД СТРАТЕГІЙ ФОРМУВАЛЬНОГО ОЦІНЮВАННЯ ДО ПІДСУМКОВИХ РОБІТ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 3.1. Методологія та інструментарій формувального оцінювання: від таксономії цілей до рефлексії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Формувальне оцінювання. Сутність формувального оцінювання. Навчальні цілі й критерії успіху. Зворотний зв’язок, методи отримання вчителем зворотного зв’язку щодо сприймання та розуміння учнями навчального матеріалу. Самооцінювання та взаємооцінювання результатів навчання учнів. Педагогічні техніки, методи й прийоми формувального оцінювання, інструменти (паперові, цифрові тощо) реалізації. Оцінювання результату й процесу групової форми діяльності (парна, командна тощо). Рефлексивне оцінювання.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2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3.2. Як здійснити оцінювання усної взаємодії на уроках мовно-літературної галузі</w:t>
      </w:r>
    </w:p>
    <w:p w:rsidR="00000000" w:rsidDel="00000000" w:rsidP="00000000" w:rsidRDefault="00000000" w:rsidRPr="00000000" w14:paraId="000001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Орієнтири для оцінювання групи результатів «Усно взаємодіє»: загальні результати – конкретні  результати – орієнтири для оцінювання. Формувальне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цінювання усної взаємодії комунікативні вміння учнівства, сприйняття тексту та аналіз усної інформації.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навчальної діяльності: усний твір, усний переказ, аудіювання,  діалог. Дискусія (дискутування, обговорення почутого/ прочитаного/переглянутого; обґрунтування власної позиції, участь у дискусії за змістом твору; організація та/або участь у дискусії) як один із видів навчальної діяльності для оцінювання групи «усно взаємодіє». Критерії оцінювання й зворотний зв’язок.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989j395beyu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 3.3. Моделі компетентнісно орієнтованих завдань і їх оцінювання в процесі викладання предметів та інтегрованих курсів мовно-літературної освітньої галузі</w:t>
      </w:r>
    </w:p>
    <w:p w:rsidR="00000000" w:rsidDel="00000000" w:rsidP="00000000" w:rsidRDefault="00000000" w:rsidRPr="00000000" w14:paraId="000001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Типи та види завдань. Особливості укладання компетентнісних завдань. Інструкції до завдань. Групи результатів та оцінювання компетентнісних завдань.</w:t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 3.4.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Створення КПР у сервісі 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Classtime: практичний інтенсив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Огляд функціоналу сервісу Classtime. </w:t>
      </w:r>
    </w:p>
    <w:p w:rsidR="00000000" w:rsidDel="00000000" w:rsidP="00000000" w:rsidRDefault="00000000" w:rsidRPr="00000000" w14:paraId="0000014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3.5. Фіксування результатів навчання здобувачів освіти в умовах упровадження нових підходів до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Нормативно-правова база стосовно оцінювання навчальних досягнень за групами результатів, що регламентує оцінювання й ведення нормативної документації. </w:t>
      </w:r>
    </w:p>
    <w:p w:rsidR="00000000" w:rsidDel="00000000" w:rsidP="00000000" w:rsidRDefault="00000000" w:rsidRPr="00000000" w14:paraId="0000014F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Навчальний поступ учнівства в освітніх документах (Державний стандарт, модельні програми, навчальні програми). Відстеження навчального поступу учнівства й фіксація результатів. Процедура підсумкового оцінювання. Новий формат комплексних і підсумкових робіт. Шкала оцінювання. Фіксація результатів навчання. Новий формат «Свідоцтва досягнень».</w:t>
      </w:r>
    </w:p>
    <w:p w:rsidR="00000000" w:rsidDel="00000000" w:rsidP="00000000" w:rsidRDefault="00000000" w:rsidRPr="00000000" w14:paraId="00000150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 3.6. Практикум: алгоритми розроблення комплексних підсумкових робіт (КПР) та підсумкових робіт на основі тексту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Добір стимульних матеріалів (текстів) та цифрового контенту для створення КПР (загальний огляд).</w:t>
      </w:r>
    </w:p>
    <w:p w:rsidR="00000000" w:rsidDel="00000000" w:rsidP="00000000" w:rsidRDefault="00000000" w:rsidRPr="00000000" w14:paraId="000001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120" w:before="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Підсумкові заходи</w:t>
      </w:r>
    </w:p>
    <w:p w:rsidR="00000000" w:rsidDel="00000000" w:rsidP="00000000" w:rsidRDefault="00000000" w:rsidRPr="00000000" w14:paraId="000001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Підсумкове тестування.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3.1 Орієнтовний перелік практичних завдань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 2.1. Трансформація оцінювання результатів навчання учнівства в мовно-літературній освітній галузі</w:t>
      </w:r>
    </w:p>
    <w:p w:rsidR="00000000" w:rsidDel="00000000" w:rsidP="00000000" w:rsidRDefault="00000000" w:rsidRPr="00000000" w14:paraId="0000015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Робота з інтерактивним Державним стандартом на платформі «Освіта для життя»: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https://educationforlife.mon.gov.ua/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 2.2. Комплексна система оцінювання результатів навчання: нормативи, критерії, практика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 з оцінювання різних видів груп результатів та інструменти оцінювання.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 3.1. Методологія та інструментарій формувального оцінювання: від таксономії цілей до рефлексії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Розроблення та аналіз завдань для оцінювання результатів навчання учнів відповідно до Державного стандарту базової середньої освіти.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2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3.2. Як здійснити оцінювання усної взаємодії на уроках мовно-літературної галузі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рганізація панельної дискусії за проблемними питаннями.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 3.3. Моделі компетентнісно орієнтованих завдань і їх оцінювання в процесі викладання предметів та інтегрованих курсів мовно-літературної освітньої галузі</w:t>
      </w:r>
    </w:p>
    <w:p w:rsidR="00000000" w:rsidDel="00000000" w:rsidP="00000000" w:rsidRDefault="00000000" w:rsidRPr="00000000" w14:paraId="0000016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Опрацювання прикладів компетентнісних робіт, критеріїв до них та специфікації. Робота зі створення критеріїв оцінювання та заповнення таблиці-специфікації.</w:t>
      </w:r>
    </w:p>
    <w:p w:rsidR="00000000" w:rsidDel="00000000" w:rsidP="00000000" w:rsidRDefault="00000000" w:rsidRPr="00000000" w14:paraId="000001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 3.4.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Створення КПР у сервісі 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Classtime: практичний інтенсив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Створення інтерактивних завдань в Classtime. Організація навчальної діяльності за допомогою Classtime. Аналіз результатів оцінювання в Classtime. Практичні вправи зі створення та налаштування різних типів завдань в Classtime і проведення тестового опитування з учнями.</w:t>
      </w:r>
    </w:p>
    <w:p w:rsidR="00000000" w:rsidDel="00000000" w:rsidP="00000000" w:rsidRDefault="00000000" w:rsidRPr="00000000" w14:paraId="0000016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3.5. Фіксування результатів навчання здобувачів освіти в умовах упровадження нових підходів до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Опрацювання онлайн-платформ, які пропонують зразки завдань для діагностувального й підсумкового оцінювання за групами результатів.</w:t>
      </w:r>
    </w:p>
    <w:p w:rsidR="00000000" w:rsidDel="00000000" w:rsidP="00000000" w:rsidRDefault="00000000" w:rsidRPr="00000000" w14:paraId="0000016E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Тема 3.6. Практикум: алгоритми розроблення комплексних підсумкових робіт (КПР) та підсумкових робіт на основі тексту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Розроблення КПР за трьома групами результатів («працює з текстом», «досліджує мовлення», «письмово взаємодіє») на основі текстоцентричного підходу. Шкала та критерії оцінювання КПР. Створення КПР  за допомогою цифрових платформ та ШІ.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3.2. Орієнтовний перелік питань для самостійного опрацювання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 теми 3.1.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Аналіз відеоконтенту за покликанням: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https://www.youtube.com/watch?v=FtleadJ65AQ&amp;t=17s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предмет придатності  відео як стимульного матеріалу для оцінювання групи результатів «усно взаємодіє» в 8-9-х класах.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 теми 3.2.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Самостійне опрацювання Додатку 2 до Державного стандарту базової середньої освіти. Продумати, на що необхідно звернути увагу під час оцінювання усної взаємодії на уроках мовно-літературної галузі.</w:t>
      </w:r>
    </w:p>
    <w:p w:rsidR="00000000" w:rsidDel="00000000" w:rsidP="00000000" w:rsidRDefault="00000000" w:rsidRPr="00000000" w14:paraId="0000017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 теми 3.3.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Опрацювання стор. 119-120 методичного посібника «Мовно-літературна освітня галузь: як оцінювати в НУШ»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https://educationforlife.mon.gov.ua/wp-content/uploads/2025/10/mov-ociniuvannia-2025-putivnik.pdf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моделями компетентнісно орієнтованих завдань і їх оцінюванням.</w:t>
      </w:r>
    </w:p>
    <w:p w:rsidR="00000000" w:rsidDel="00000000" w:rsidP="00000000" w:rsidRDefault="00000000" w:rsidRPr="00000000" w14:paraId="0000017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 теми 3.6.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Опрацювання стор. 66-69 методичного посібника «Мовно-літературна освітня галузь: як оцінювати в НУШ»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https://educationforlife.mon.gov.ua/wp-content/uploads/2025/10/mov-ociniuvannia-2025-putivnik.pdf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Добір стимульних матеріалів для КПР.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СПИСОК РЕКОМЕНДОВАНОЇ ЛІТЕРАТУРИ</w:t>
      </w:r>
    </w:p>
    <w:p w:rsidR="00000000" w:rsidDel="00000000" w:rsidP="00000000" w:rsidRDefault="00000000" w:rsidRPr="00000000" w14:paraId="0000017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Нормативно-правові документи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Закон «Про повну загальну середню освіту» URL: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https://zakon.rada.gov.ua/laws/show/463-20#Text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Закон України «Про освіту».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https://zakon.rada.gov.ua/laws/show/463-20#Text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Державний стандарт базової середньої освіти. Постанова КМУ № 898 від 30.09.2020 р. URL: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https://zakon.rada.gov.ua/laws/show/898-2020-%D0%BF#Text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Розпорядження КМУ від 14 грудня 2016 р. № 988-р “Про схвалення Концепції реалізації державної політики у сфері реформування загальної середньої освіти «Нова українська школа» на період до 2029 року”. URL: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https://zakon.rada.gov.ua/laws/show/988-2016-%D1%80#Tex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Постанова Кабінету Міністрів України від 21 серпня 2019 р. № 800 «Про деякі питання підвищення кваліфікації педагогічних і науково-педагогічних працівників» (зі змінами, внесеними згідно з Постановою КМ від 27.12.2019 № 1133). URL: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https://zakon.rada.gov.ua/laws/show/800-2019-%D0%BF#Text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Наказ  про затвердження рекомендацій щодо оцінювання результатів навчання від 02 серпня 2024 року № 1093. URL: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https://osvita.ua/legislation/Ser_osv/92715/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8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Основна література</w:t>
      </w:r>
    </w:p>
    <w:p w:rsidR="00000000" w:rsidDel="00000000" w:rsidP="00000000" w:rsidRDefault="00000000" w:rsidRPr="00000000" w14:paraId="00000183">
      <w:pPr>
        <w:pStyle w:val="Heading1"/>
        <w:shd w:fill="ffffff" w:val="clear"/>
        <w:spacing w:after="0" w:before="0" w:lineRule="auto"/>
        <w:ind w:firstLine="709"/>
        <w:jc w:val="both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1. </w:t>
      </w:r>
      <w:r w:rsidDel="00000000" w:rsidR="00000000" w:rsidRPr="00000000">
        <w:rPr>
          <w:b w:val="0"/>
          <w:bCs w:val="0"/>
          <w:color w:val="1d1d1d"/>
          <w:sz w:val="28"/>
          <w:szCs w:val="28"/>
          <w:rtl w:val="0"/>
        </w:rPr>
        <w:t xml:space="preserve">Про окремі питання оцінювання результатів навчання. Лист Міністерства освіти і науки України від 15 березня 2025 року № </w:t>
      </w:r>
      <w:r w:rsidDel="00000000" w:rsidR="00000000" w:rsidRPr="00000000">
        <w:rPr>
          <w:b w:val="0"/>
          <w:bCs w:val="0"/>
          <w:smallCaps w:val="1"/>
          <w:color w:val="212529"/>
          <w:sz w:val="28"/>
          <w:szCs w:val="28"/>
          <w:highlight w:val="white"/>
          <w:rtl w:val="0"/>
        </w:rPr>
        <w:t xml:space="preserve">1/4895-25. 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URL: </w:t>
      </w:r>
      <w:hyperlink r:id="rId17">
        <w:r w:rsidDel="00000000" w:rsidR="00000000" w:rsidRPr="00000000">
          <w:rPr>
            <w:b w:val="0"/>
            <w:bCs w:val="0"/>
            <w:color w:val="0000ff"/>
            <w:sz w:val="28"/>
            <w:szCs w:val="28"/>
            <w:u w:val="single"/>
            <w:rtl w:val="0"/>
          </w:rPr>
          <w:t xml:space="preserve">https://mon.gov.ua/npa/pro-okremi-pytannia-otsiniuvannia-rezultativ-navchannia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Інструктивно-методичні рекомендації щодо викладання навчальних предметів / інтегрованих курсів у закладах загальної середньої освіти у 2024/2025 н.р. № 1.1/15776-24 від 30.08.2024. URL: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https://mon.gov.ua/static-objects/mon/uploads/public/66d/ffe/c4c/66dffec4c92d2958213439.pdf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Модельні навчальні програми для 5-9 класів нової української школи. URL: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https://mon.gov.ua/osvita-2/zagalna-serednya-osvita/osvitni-programi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86">
      <w:pPr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Панченков, А., Терещенко, В., Лінник, О., &amp; Алгольм, М. (n.d.).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Мистецтво оцінювання в НУШ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NUS Hub.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https://nushub.org.ua/resource/posibnyk-mystetstvo-otsinyuvannya-v-nush/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Style w:val="Heading1"/>
        <w:shd w:fill="ffffff" w:val="clear"/>
        <w:spacing w:after="0" w:before="0" w:lineRule="auto"/>
        <w:ind w:firstLine="709"/>
        <w:jc w:val="both"/>
        <w:rPr>
          <w:b w:val="0"/>
          <w:bCs w:val="0"/>
          <w:color w:val="1d1d1d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5. Путівник онлайн-курсу НУШ: базова середня освіта. (н.д.). Електронний ресурс. URL: </w:t>
      </w:r>
      <w:hyperlink r:id="rId21">
        <w:r w:rsidDel="00000000" w:rsidR="00000000" w:rsidRPr="00000000">
          <w:rPr>
            <w:b w:val="0"/>
            <w:bCs w:val="0"/>
            <w:color w:val="0000ff"/>
            <w:sz w:val="28"/>
            <w:szCs w:val="28"/>
            <w:u w:val="single"/>
            <w:rtl w:val="0"/>
          </w:rPr>
          <w:t xml:space="preserve">https://osvitoria.media/experience/gotovi-vprovadzhuvaty-nush-putivnyk-dlya-vchyteliv/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Додаткова література</w:t>
      </w:r>
    </w:p>
    <w:p w:rsidR="00000000" w:rsidDel="00000000" w:rsidP="00000000" w:rsidRDefault="00000000" w:rsidRPr="00000000" w14:paraId="0000018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Локшина О. І. Зміст шкільної освіти в країнах Європейського Союзу: теорія практика (друга половина ХХ - початок ХХІ ст.) : монографія / О. І. Локшина. – К. : Богданова А.М., 2009. - 404 с. </w:t>
      </w:r>
    </w:p>
    <w:p w:rsidR="00000000" w:rsidDel="00000000" w:rsidP="00000000" w:rsidRDefault="00000000" w:rsidRPr="00000000" w14:paraId="0000018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Онопрієнко О. В. Формувальне оцінювання навчальних досягнень учнів: сутність і методика здійснення / О. В. Онопрієнко // Український педагогічний журнал.  2016.  № 4. С. 36-42. </w:t>
      </w:r>
    </w:p>
    <w:p w:rsidR="00000000" w:rsidDel="00000000" w:rsidP="00000000" w:rsidRDefault="00000000" w:rsidRPr="00000000" w14:paraId="0000018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Щербак О. І., Софій Н. 3., Бович Б. Ю. Теорія і практика оцінювання навчальних досягнень: Навчально-методичний посібник / За наук. ред. О. І. Щербак.  Івано-Франківськ, «Лілея-НВ», 2014. 136 с. </w:t>
      </w:r>
    </w:p>
    <w:p w:rsidR="00000000" w:rsidDel="00000000" w:rsidP="00000000" w:rsidRDefault="00000000" w:rsidRPr="00000000" w14:paraId="0000018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Формувальне оцінювання: означення, техніки і інструменти [Електронний ресурс] : [блог] : україн. Версія.URL: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https://formativeasua.blogspot.com/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Безпечна і дружня до дитини школа в контексті реформи «НУШ» / В. Пономаренко, Т. Воронцова, О. Сакович та ін. — К.: Алатон, 2020. 64 с. URL: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https://www.unicef.org/ukraine/media/3646/file/safe school in NUS.pdf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Н. Морзе, О. Базелюк, І. Воротникова, Н. Дементієвська, О. Захар, Т. Нанаєва, О. Пасічник, Л. Чернікова. Опис цифрової компетентності педагогічних працівників // ел. фахове видання «Відкрите освітнє середовище сучасного університету». Київ, 27-28.09.2019. URL: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http://openedu.kubg.edu.ua/journal/index.php/openedu/article/view/263#.XY-AWUb7Qb4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4"/>
      <w:numFmt w:val="bullet"/>
      <w:lvlText w:val="-"/>
      <w:lvlJc w:val="left"/>
      <w:pPr>
        <w:ind w:left="1429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3763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ushub.org.ua/resource/posibnyk-mystetstvo-otsinyuvannya-v-nush/" TargetMode="External"/><Relationship Id="rId11" Type="http://schemas.openxmlformats.org/officeDocument/2006/relationships/hyperlink" Target="https://zakon.rada.gov.ua/laws/show/463-20#Text" TargetMode="External"/><Relationship Id="rId22" Type="http://schemas.openxmlformats.org/officeDocument/2006/relationships/hyperlink" Target="https://formativeasua.blogspot.com/" TargetMode="External"/><Relationship Id="rId10" Type="http://schemas.openxmlformats.org/officeDocument/2006/relationships/hyperlink" Target="https://zakon.rada.gov.ua/laws/show/463-20#Text" TargetMode="External"/><Relationship Id="rId21" Type="http://schemas.openxmlformats.org/officeDocument/2006/relationships/hyperlink" Target="https://osvitoria.media/experience/gotovi-vprovadzhuvaty-nush-putivnyk-dlya-vchyteliv/" TargetMode="External"/><Relationship Id="rId13" Type="http://schemas.openxmlformats.org/officeDocument/2006/relationships/hyperlink" Target="https://zakon.rada.gov.ua/laws/show/898-2020-%D0%BF#Text" TargetMode="External"/><Relationship Id="rId24" Type="http://schemas.openxmlformats.org/officeDocument/2006/relationships/hyperlink" Target="http://openedu.kubg.edu.ua/journal/index.php/openedu/article/view/263#.XY-AWUb7Qb4" TargetMode="External"/><Relationship Id="rId12" Type="http://schemas.openxmlformats.org/officeDocument/2006/relationships/hyperlink" Target="about:blank" TargetMode="External"/><Relationship Id="rId23" Type="http://schemas.openxmlformats.org/officeDocument/2006/relationships/hyperlink" Target="https://www.unicef.org/ukraine/media/3646/file/safe%20school%20in%20NU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onforlife.mon.gov.ua/wp-content/uploads/2025/10/mov-ociniuvannia-2025-putivnik.pdf" TargetMode="External"/><Relationship Id="rId15" Type="http://schemas.openxmlformats.org/officeDocument/2006/relationships/hyperlink" Target="https://zakon.rada.gov.ua/laws/show/800-2019-%D0%BF#Text" TargetMode="External"/><Relationship Id="rId14" Type="http://schemas.openxmlformats.org/officeDocument/2006/relationships/hyperlink" Target="https://zakon.rada.gov.ua/laws/show/988-2016-%D1%80#Text" TargetMode="External"/><Relationship Id="rId17" Type="http://schemas.openxmlformats.org/officeDocument/2006/relationships/hyperlink" Target="https://mon.gov.ua/npa/pro-okremi-pytannia-otsiniuvannia-rezultativ-navchannia" TargetMode="External"/><Relationship Id="rId16" Type="http://schemas.openxmlformats.org/officeDocument/2006/relationships/hyperlink" Target="https://osvita.ua/legislation/Ser_osv/92715/" TargetMode="External"/><Relationship Id="rId5" Type="http://schemas.openxmlformats.org/officeDocument/2006/relationships/styles" Target="styles.xml"/><Relationship Id="rId19" Type="http://schemas.openxmlformats.org/officeDocument/2006/relationships/hyperlink" Target="https://mon.gov.ua/osvita-2/zagalna-serednya-osvita/osvitni-programi" TargetMode="External"/><Relationship Id="rId6" Type="http://schemas.openxmlformats.org/officeDocument/2006/relationships/hyperlink" Target="https://educationforlife.mon.gov.ua/" TargetMode="External"/><Relationship Id="rId18" Type="http://schemas.openxmlformats.org/officeDocument/2006/relationships/hyperlink" Target="https://mon.gov.ua/static-objects/mon/uploads/public/66d/ffe/c4c/66dffec4c92d2958213439.pdf" TargetMode="External"/><Relationship Id="rId7" Type="http://schemas.openxmlformats.org/officeDocument/2006/relationships/hyperlink" Target="https://www.youtube.com/watch?v=FtleadJ65AQ&amp;t=17s" TargetMode="External"/><Relationship Id="rId8" Type="http://schemas.openxmlformats.org/officeDocument/2006/relationships/hyperlink" Target="https://educationforlife.mon.gov.ua/wp-content/uploads/2025/10/mov-ociniuvannia-2025-putivnik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